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儿保科数字化门诊建设</w:t>
      </w:r>
      <w:r>
        <w:rPr>
          <w:rFonts w:hint="default" w:ascii="宋体" w:hAnsi="宋体" w:eastAsia="宋体" w:cs="宋体"/>
          <w:b/>
          <w:bCs/>
          <w:sz w:val="36"/>
          <w:szCs w:val="36"/>
          <w:lang w:eastAsia="zh-CN"/>
        </w:rPr>
        <w:t>采购</w:t>
      </w:r>
      <w:r>
        <w:rPr>
          <w:rFonts w:hint="eastAsia" w:ascii="宋体" w:hAnsi="宋体" w:eastAsia="宋体" w:cs="宋体"/>
          <w:b/>
          <w:bCs/>
          <w:sz w:val="36"/>
          <w:szCs w:val="36"/>
          <w:lang w:eastAsia="zh-CN"/>
        </w:rPr>
        <w:t>调研文件</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一、</w:t>
      </w:r>
      <w:r>
        <w:rPr>
          <w:rFonts w:hint="default"/>
          <w:color w:val="000000"/>
          <w:sz w:val="24"/>
          <w:szCs w:val="24"/>
          <w:lang w:eastAsia="zh-CN"/>
        </w:rPr>
        <w:t>技术服务要求：</w:t>
      </w:r>
      <w:r>
        <w:rPr>
          <w:rFonts w:hint="eastAsia"/>
          <w:color w:val="000000"/>
          <w:sz w:val="24"/>
          <w:szCs w:val="24"/>
          <w:lang w:val="en-US" w:eastAsia="zh-CN"/>
        </w:rPr>
        <w:t xml:space="preserve">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一）基本要求。预防接种数字化门诊是将计算机技术、网络技术、互联网、物联网和人工智能等信息技术应用于预防接种的预约、取号、健康询问、登记、预检、候种、接种、留观等环节，实现全流程综合信息管理与服务的预防接种门诊。预防接种数字化门诊应符合预防接种单位基本要求，原则上，应达到四川省 AAA 级及以上预防接种门诊标准，接种流程和布局合理，设施设备完备。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（二）主要功能。在稳定运行免规系统基础上，实现功能扩展和升级，配备预防接种数字化门诊系统相关设施设备，实现以下主要功能：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1.预约：支持利用互联网预约平台或移动终端等技术手段进行接种疫苗的预约；支持受种者主动预约和接种单位被动预约；支持预约查询和结果反馈。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2.取号：支持受种者/监护人通过自助取号机、移动终端等方式完成现场取号确认。支持受种者/监护人查看排队序号、取号时间、受种者姓名、预约疫苗、当前等待人数、门诊开始时间和结束时间等信息，支持取号查询和结果反馈。支持接种门诊通过自定义时段、人数安排等方式进行取号管理，支持暂停或恢复取号服务。</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3.健康询问：支持对健康状况问题集进行定义与维护，支持受种者/监护人通过电子签名或指纹、人脸等生物特征识别方式对健康询问结果进行确认。支持健康询问和医学建议情况的保存。支持健康询问、医学建议情况与疫苗接种记录的关联和查询。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4.登记：支持显示排队序号、受种者姓名、服务台号等信息。支持受种者接种疫苗信息的登记，内容应包括疫苗名称、剂次、接种日期、疫苗属性和预防接种类型等。支持非免疫规划疫苗选择疫苗生产企业和批号。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5.知情同意：支持为每种疫苗定制知情同意书模板，支持受种者/监护人通过显示终端获取知情同意书，支持通过电子签名或指纹、人脸等生物特征识别方式对知情同意书进行确认。支持知情同意书的导出和打印。支持知情同意书数据与个案数据关联，可随时查阅和校验知情同意书的有效性，知情同意数据保存年限符合有关要求。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6.候种：支持候种显示屏幕显示一个或者多个服务台的服务信息，内容应包括当前候种人数、排队序号、等待列表、受种者姓名等信息。支持显示内容个性化设置。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7.接种：支持按接种疫苗种类对接种台进行设置，并通过屏幕显示接种台号、排队序号、受种者姓名、受种者待接种疫苗名称等信息。支持根据可接种的疫苗或当前排队人数将受种者自动分配到相应的接种台。支持扫描身份识别介质获取受种者信息，并显示受种者基本信息和疫苗接种信息。支持扫描疫苗追溯码采集疫苗名称、疫苗追溯码、疫苗生产企业、疫苗批号、有效期等信息。支持本次接种疫苗与登记台疫苗信息核对。支持受种者/监护人对接种疫苗的名称、有效期等信息进行验证，并通过电子签名或指纹、人脸等生物特征识别技术对验证过程进行确认。支持验证记录与疫苗接种记录的关联和查询。支持记录疫苗的接种部位和接种人员，并保存本次接种信息。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8.留观：支持通过显示屏、移动终端等设备显示受种者留观信息，支持受种者留观时间提示和受种者当日留观情况查询。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9.冷链自动监测：支持冷链设备温度自动采集、记录冷链设备温度，对温度异常情况以电话、短信、微信等形式向移动终端等设备进行报警。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10.接种引导：支持在取号、健康询问、登记、候种、接种和留观等环节通过语音、大屏幕、移动终端显示引导受种者/监护人进入下一流程。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11.健康宣教：支持取号、健康询问、登记、候种、接种和留观等环节提供预防接种和疫苗相关知识的多媒体、移动终端等宣传展示和管理功能。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12.查询和统计：支持预约、取号、健康询问、知情同意书电子核签、疫苗接种电子验证、接种、留观、接种日志、工作量、疫苗出入库等信息查询、统计和结果导出。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13.公众服务：使用手机 APP、微信公众号（小程序）等方式实现预防接种预约通知，提醒受种者及时接种国家免疫规划疫苗，提高疫苗接种率和接种及时性。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 xml:space="preserve">14.功能设置：支持接种门诊基本信息及人员设置、支持人员与用户及权限、角色的相互关联。支持门诊流程设置、显示信息内容和格式设置、显示屏设置。 </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三）基本设备。预防接种数字化门诊除具备常规预防接种相关设施设备外，还应具备的硬件设备主要包括：综合显示终端、窗口显示终端、留观显示终端、排队叫号终端、疫苗接种知情告知书/同意书电子签名终端、疫苗接种核验终端、身份信息识别设备、显示控制终端、多媒体语音终端、电脑、打印机、扫码设备、冷链温度自动监测设备等。设备的数量与工作流程、业务工作区域以及冷链设备等相匹配。</w:t>
      </w:r>
    </w:p>
    <w:p>
      <w:pPr>
        <w:numPr>
          <w:ilvl w:val="0"/>
          <w:numId w:val="0"/>
        </w:numPr>
        <w:spacing w:line="360" w:lineRule="auto"/>
        <w:rPr>
          <w:rFonts w:hint="eastAsia"/>
          <w:color w:val="000000"/>
          <w:sz w:val="24"/>
          <w:szCs w:val="24"/>
          <w:lang w:val="en-US" w:eastAsia="zh-CN"/>
        </w:rPr>
      </w:pPr>
      <w:r>
        <w:rPr>
          <w:rFonts w:hint="default" w:ascii="宋体" w:hAnsi="宋体" w:eastAsia="宋体" w:cs="宋体"/>
          <w:sz w:val="28"/>
          <w:szCs w:val="28"/>
          <w:lang w:eastAsia="zh-CN"/>
        </w:rPr>
        <w:t>二、</w:t>
      </w:r>
      <w:r>
        <w:rPr>
          <w:rFonts w:hint="default" w:ascii="宋体"/>
          <w:color w:val="000000"/>
          <w:sz w:val="24"/>
          <w:szCs w:val="24"/>
          <w:lang w:eastAsia="zh-CN"/>
        </w:rPr>
        <w:t>供应商需提供的资料</w:t>
      </w:r>
      <w:r>
        <w:rPr>
          <w:rFonts w:hint="eastAsia"/>
          <w:color w:val="000000"/>
          <w:sz w:val="24"/>
          <w:szCs w:val="24"/>
          <w:lang w:val="en-US" w:eastAsia="zh-CN"/>
        </w:rPr>
        <w:t>：</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1、具备独立承担民事责任的能力;</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2、具有良好的商业信誉和健全的财务会计制度;</w:t>
      </w:r>
      <w:r>
        <w:rPr>
          <w:rFonts w:hint="eastAsia"/>
          <w:color w:val="FF0000"/>
          <w:sz w:val="24"/>
          <w:szCs w:val="24"/>
          <w:lang w:val="en-US" w:eastAsia="zh-CN"/>
        </w:rPr>
        <w:t>（可提供承诺函，格式自拟）</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3、具有履行合同所必需的设备和专业技术能力;</w:t>
      </w:r>
      <w:r>
        <w:rPr>
          <w:rFonts w:hint="eastAsia"/>
          <w:color w:val="FF0000"/>
          <w:sz w:val="24"/>
          <w:szCs w:val="24"/>
          <w:lang w:val="en-US" w:eastAsia="zh-CN"/>
        </w:rPr>
        <w:t>（可提供承诺函，格式自拟）</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4、有依法交纳税收和社会保障资金的良好记录;</w:t>
      </w:r>
      <w:r>
        <w:rPr>
          <w:rFonts w:hint="eastAsia"/>
          <w:color w:val="FF0000"/>
          <w:sz w:val="24"/>
          <w:szCs w:val="24"/>
          <w:lang w:val="en-US" w:eastAsia="zh-CN"/>
        </w:rPr>
        <w:t>（可提供承诺函，格式自拟）</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5、投标人参加政府采购活动前三年内，在经营活动中没有重大违法记录;</w:t>
      </w:r>
      <w:r>
        <w:rPr>
          <w:rFonts w:hint="eastAsia"/>
          <w:color w:val="FF0000"/>
          <w:sz w:val="24"/>
          <w:szCs w:val="24"/>
          <w:lang w:val="en-US" w:eastAsia="zh-CN"/>
        </w:rPr>
        <w:t>（可提供承诺函，格式自拟）</w:t>
      </w:r>
    </w:p>
    <w:p>
      <w:pPr>
        <w:numPr>
          <w:ilvl w:val="0"/>
          <w:numId w:val="0"/>
        </w:numPr>
        <w:spacing w:line="360" w:lineRule="auto"/>
        <w:rPr>
          <w:rFonts w:hint="default"/>
          <w:color w:val="000000"/>
          <w:sz w:val="24"/>
          <w:szCs w:val="24"/>
          <w:lang w:val="en-US" w:eastAsia="zh-CN"/>
        </w:rPr>
      </w:pPr>
      <w:r>
        <w:rPr>
          <w:rFonts w:hint="eastAsia"/>
          <w:color w:val="000000"/>
          <w:sz w:val="24"/>
          <w:szCs w:val="24"/>
          <w:lang w:val="en-US" w:eastAsia="zh-CN"/>
        </w:rPr>
        <w:t>6、法律、行政法规规定的其他条件（本项无）；</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7、本项目不接受联合体投标；</w:t>
      </w:r>
      <w:r>
        <w:rPr>
          <w:rFonts w:hint="eastAsia"/>
          <w:color w:val="FF0000"/>
          <w:sz w:val="24"/>
          <w:szCs w:val="24"/>
          <w:lang w:val="en-US" w:eastAsia="zh-CN"/>
        </w:rPr>
        <w:t>（可提供承诺函，格式自拟）</w:t>
      </w:r>
    </w:p>
    <w:p>
      <w:pPr>
        <w:numPr>
          <w:ilvl w:val="0"/>
          <w:numId w:val="1"/>
        </w:numPr>
        <w:spacing w:line="360" w:lineRule="auto"/>
        <w:rPr>
          <w:rFonts w:hint="eastAsia"/>
          <w:color w:val="000000"/>
          <w:sz w:val="24"/>
          <w:szCs w:val="24"/>
          <w:lang w:val="en-US" w:eastAsia="zh-CN"/>
        </w:rPr>
      </w:pPr>
      <w:r>
        <w:rPr>
          <w:rFonts w:hint="eastAsia"/>
          <w:color w:val="000000"/>
          <w:sz w:val="24"/>
          <w:szCs w:val="24"/>
          <w:lang w:val="en-US" w:eastAsia="zh-CN"/>
        </w:rPr>
        <w:t>调研人员提供法人授权书、身份证复印件、法人代表身份证复印件及联系人电话；</w:t>
      </w:r>
    </w:p>
    <w:p>
      <w:pPr>
        <w:numPr>
          <w:numId w:val="0"/>
        </w:numPr>
        <w:spacing w:line="360" w:lineRule="auto"/>
        <w:ind w:leftChars="0"/>
        <w:rPr>
          <w:rFonts w:hint="eastAsia"/>
          <w:color w:val="FF0000"/>
          <w:sz w:val="24"/>
          <w:szCs w:val="24"/>
          <w:lang w:val="en-US" w:eastAsia="zh-CN"/>
        </w:rPr>
      </w:pPr>
      <w:r>
        <w:rPr>
          <w:rFonts w:hint="eastAsia"/>
          <w:color w:val="000000"/>
          <w:sz w:val="24"/>
          <w:szCs w:val="24"/>
          <w:lang w:val="en-US" w:eastAsia="zh-CN"/>
        </w:rPr>
        <w:t>9、项目方案及配套设备参数清单；</w:t>
      </w:r>
    </w:p>
    <w:p>
      <w:pPr>
        <w:numPr>
          <w:numId w:val="0"/>
        </w:numPr>
        <w:spacing w:line="360" w:lineRule="auto"/>
        <w:ind w:leftChars="0"/>
        <w:rPr>
          <w:rFonts w:hint="eastAsia"/>
          <w:color w:val="FF0000"/>
          <w:sz w:val="24"/>
          <w:szCs w:val="24"/>
          <w:lang w:val="en-US" w:eastAsia="zh-CN"/>
        </w:rPr>
      </w:pPr>
      <w:r>
        <w:rPr>
          <w:rFonts w:hint="eastAsia"/>
          <w:color w:val="000000"/>
          <w:sz w:val="24"/>
          <w:szCs w:val="24"/>
          <w:lang w:val="en-US" w:eastAsia="zh-CN"/>
        </w:rPr>
        <w:t>10、</w:t>
      </w:r>
      <w:r>
        <w:rPr>
          <w:rFonts w:hint="eastAsia"/>
          <w:color w:val="FF0000"/>
          <w:sz w:val="24"/>
          <w:szCs w:val="24"/>
          <w:lang w:val="en-US" w:eastAsia="zh-CN"/>
        </w:rPr>
        <w:t>本项目特定</w:t>
      </w:r>
      <w:r>
        <w:rPr>
          <w:rFonts w:hint="default"/>
          <w:color w:val="FF0000"/>
          <w:sz w:val="24"/>
          <w:szCs w:val="24"/>
          <w:lang w:eastAsia="zh-CN"/>
        </w:rPr>
        <w:t>资格</w:t>
      </w:r>
      <w:r>
        <w:rPr>
          <w:rFonts w:hint="eastAsia"/>
          <w:color w:val="FF0000"/>
          <w:sz w:val="24"/>
          <w:szCs w:val="24"/>
          <w:lang w:val="en-US" w:eastAsia="zh-CN"/>
        </w:rPr>
        <w:t>条件：能够与四川省免疫规划信息管理系统无缝对接</w:t>
      </w:r>
      <w:r>
        <w:rPr>
          <w:rFonts w:hint="default"/>
          <w:color w:val="FF0000"/>
          <w:sz w:val="24"/>
          <w:szCs w:val="24"/>
          <w:lang w:val="en-US" w:eastAsia="zh-CN"/>
        </w:rPr>
        <w:t>，</w:t>
      </w:r>
      <w:r>
        <w:rPr>
          <w:rFonts w:hint="eastAsia"/>
          <w:color w:val="FF0000"/>
          <w:sz w:val="24"/>
          <w:szCs w:val="24"/>
          <w:lang w:val="en-US" w:eastAsia="zh-CN"/>
        </w:rPr>
        <w:t>与四川省疾控中心官方提供的免疫规划信息预约平台（“四川预防接种”公众号）、移动APP等进行集成实现接种疫苗的预约;支持受种者主动预约和接种单位被动预约;支持预约查询和结果反馈。（提供承诺函并加盖原厂商鲜章，格式自拟）</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三、其他说明：</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1、根据要求及自身实际用A4纸编制市场调研书。</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2、如有，提供相关的产品技术资料（如：出厂检验合格证书、技术说明书、等完整的技术资料等）。</w:t>
      </w:r>
    </w:p>
    <w:p>
      <w:pPr>
        <w:numPr>
          <w:ilvl w:val="0"/>
          <w:numId w:val="0"/>
        </w:numPr>
        <w:spacing w:line="360" w:lineRule="auto"/>
        <w:rPr>
          <w:rFonts w:hint="eastAsia"/>
          <w:color w:val="000000"/>
          <w:sz w:val="24"/>
          <w:szCs w:val="24"/>
          <w:lang w:val="en-US" w:eastAsia="zh-CN"/>
        </w:rPr>
      </w:pPr>
      <w:r>
        <w:rPr>
          <w:rFonts w:hint="eastAsia"/>
          <w:color w:val="000000"/>
          <w:sz w:val="24"/>
          <w:szCs w:val="24"/>
          <w:lang w:val="en-US" w:eastAsia="zh-CN"/>
        </w:rPr>
        <w:t>3、提供的所有资料须密封，并加盖鲜章。</w:t>
      </w:r>
    </w:p>
    <w:p>
      <w:pPr>
        <w:numPr>
          <w:ilvl w:val="0"/>
          <w:numId w:val="0"/>
        </w:numPr>
        <w:spacing w:line="360" w:lineRule="auto"/>
        <w:rPr>
          <w:rFonts w:hint="default"/>
          <w:color w:val="000000"/>
          <w:sz w:val="24"/>
          <w:szCs w:val="24"/>
          <w:lang w:val="en-US" w:eastAsia="zh-CN"/>
        </w:rPr>
      </w:pPr>
      <w:r>
        <w:rPr>
          <w:rFonts w:hint="eastAsia"/>
          <w:color w:val="000000"/>
          <w:sz w:val="24"/>
          <w:szCs w:val="24"/>
          <w:lang w:val="en-US" w:eastAsia="zh-CN"/>
        </w:rPr>
        <w:t>4、由于疫情原因，具体调研安排另行通知。</w:t>
      </w:r>
      <w:bookmarkStart w:id="0" w:name="_GoBack"/>
      <w:bookmarkEnd w:id="0"/>
    </w:p>
    <w:p>
      <w:pPr>
        <w:numPr>
          <w:numId w:val="0"/>
        </w:numPr>
        <w:spacing w:line="360" w:lineRule="auto"/>
        <w:rPr>
          <w:rFonts w:hint="default"/>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B12E3"/>
    <w:multiLevelType w:val="singleLevel"/>
    <w:tmpl w:val="A07B12E3"/>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0C55214E"/>
    <w:rsid w:val="58935F89"/>
    <w:rsid w:val="6CB5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2214</Words>
  <Characters>2239</Characters>
  <Lines>0</Lines>
  <Paragraphs>0</Paragraphs>
  <TotalTime>7</TotalTime>
  <ScaleCrop>false</ScaleCrop>
  <LinksUpToDate>false</LinksUpToDate>
  <CharactersWithSpaces>2259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2022-09-08T08:14:00Z</dcterms:created>
  <dc:creator>绵绵</dc:creator>
  <cp:lastModifiedBy>绵绵</cp:lastModifiedBy>
  <dcterms:modified xsi:type="dcterms:W3CDTF">2022-09-08T09:34:27Z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E89EA4E799784BB39ECD6C371FD37F5B</vt:lpwstr>
  </property>
</Properties>
</file>