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cs="Times New Roman"/>
          <w:b/>
          <w:sz w:val="44"/>
          <w:szCs w:val="44"/>
          <w:lang w:val="en-US" w:eastAsia="zh-CN"/>
        </w:rPr>
        <w:t>内控制度建设服务（第三次）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6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w:t>
      </w:r>
      <w:r>
        <w:rPr>
          <w:rFonts w:hint="eastAsia" w:ascii="宋体" w:hAnsi="宋体"/>
          <w:sz w:val="24"/>
          <w:lang w:val="en-US" w:eastAsia="zh-CN"/>
        </w:rPr>
        <w:t>2</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资阳市雁江区妇幼保健计划生育服务中心内控制度建设服务（第三次）采购项目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cs="Times New Roman"/>
          <w:sz w:val="24"/>
          <w:lang w:val="en-US" w:eastAsia="zh-CN"/>
        </w:rPr>
        <w:t>80000元</w:t>
      </w:r>
      <w:r>
        <w:rPr>
          <w:rFonts w:hint="eastAsia" w:ascii="宋体" w:hAnsi="宋体" w:eastAsia="宋体" w:cs="Times New Roman"/>
          <w:sz w:val="24"/>
          <w:lang w:val="en-US" w:eastAsia="zh-CN"/>
        </w:rPr>
        <w:t>（超过限价为无效投标）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kern w:val="2"/>
          <w:sz w:val="24"/>
          <w:szCs w:val="24"/>
          <w:highlight w:val="none"/>
          <w:u w:val="none"/>
          <w:lang w:val="en-US" w:eastAsia="zh-CN" w:bidi="ar-SA"/>
        </w:rPr>
        <w:t>(1)</w:t>
      </w:r>
      <w:r>
        <w:rPr>
          <w:rFonts w:hint="eastAsia" w:ascii="宋体" w:hAnsi="宋体" w:eastAsia="宋体" w:cs="Times New Roman"/>
          <w:kern w:val="2"/>
          <w:sz w:val="24"/>
          <w:szCs w:val="24"/>
          <w:highlight w:val="none"/>
          <w:u w:val="none"/>
          <w:lang w:val="en-US" w:eastAsia="zh-CN" w:bidi="ar-SA"/>
        </w:rPr>
        <w:t>供应商未被</w:t>
      </w:r>
      <w:r>
        <w:rPr>
          <w:rFonts w:hint="eastAsia" w:ascii="Times New Roman" w:hAnsi="Times New Roman" w:eastAsia="宋体" w:cs="Times New Roman"/>
          <w:color w:val="000000"/>
          <w:sz w:val="24"/>
          <w:szCs w:val="24"/>
          <w:lang w:val="en-US" w:eastAsia="zh-CN"/>
        </w:rPr>
        <w:t>“信用中国”网站（www.creditchina.gov.cn）、“中国政府采购网”网站（www.ccgp.gov.cn）等</w:t>
      </w:r>
      <w:r>
        <w:rPr>
          <w:rFonts w:hint="eastAsia" w:ascii="宋体" w:hAnsi="宋体" w:eastAsia="宋体" w:cs="Times New Roman"/>
          <w:kern w:val="2"/>
          <w:sz w:val="24"/>
          <w:szCs w:val="24"/>
          <w:highlight w:val="none"/>
          <w:u w:val="none"/>
          <w:lang w:val="en-US" w:eastAsia="zh-CN" w:bidi="ar-SA"/>
        </w:rPr>
        <w:t>列入失信被执行人、重大税收违法案件当事人名单、政府采购严重违法失信行为</w:t>
      </w:r>
      <w:r>
        <w:rPr>
          <w:rFonts w:hint="eastAsia" w:ascii="Times New Roman" w:hAnsi="Times New Roman" w:eastAsia="宋体" w:cs="Times New Roman"/>
          <w:color w:val="000000"/>
          <w:sz w:val="24"/>
          <w:szCs w:val="24"/>
          <w:lang w:val="en-US" w:eastAsia="zh-CN"/>
        </w:rPr>
        <w:t>。</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bookmarkStart w:id="0" w:name="_GoBack"/>
      <w:bookmarkEnd w:id="0"/>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时间：截止到2025年7月3日17:00止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43AD23E0">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5个工作日，截止到2025年</w:t>
      </w:r>
      <w:r>
        <w:rPr>
          <w:rFonts w:hint="eastAsia" w:ascii="宋体" w:hAnsi="宋体" w:cs="宋体"/>
          <w:kern w:val="0"/>
          <w:sz w:val="24"/>
          <w:u w:val="none"/>
          <w:lang w:val="en-US" w:eastAsia="zh-CN"/>
        </w:rPr>
        <w:t>7</w:t>
      </w:r>
      <w:r>
        <w:rPr>
          <w:rFonts w:hint="eastAsia" w:ascii="宋体" w:hAnsi="宋体" w:eastAsia="宋体" w:cs="宋体"/>
          <w:kern w:val="0"/>
          <w:sz w:val="24"/>
          <w:u w:val="none"/>
          <w:lang w:val="en-US" w:eastAsia="zh-CN"/>
        </w:rPr>
        <w:t>月</w:t>
      </w:r>
      <w:r>
        <w:rPr>
          <w:rFonts w:hint="eastAsia" w:ascii="宋体" w:hAnsi="宋体" w:cs="宋体"/>
          <w:kern w:val="0"/>
          <w:sz w:val="24"/>
          <w:u w:val="none"/>
          <w:lang w:val="en-US" w:eastAsia="zh-CN"/>
        </w:rPr>
        <w:t>3</w:t>
      </w:r>
      <w:r>
        <w:rPr>
          <w:rFonts w:hint="eastAsia" w:ascii="宋体" w:hAnsi="宋体" w:eastAsia="宋体" w:cs="宋体"/>
          <w:kern w:val="0"/>
          <w:sz w:val="24"/>
          <w:u w:val="none"/>
          <w:lang w:val="en-US" w:eastAsia="zh-CN"/>
        </w:rPr>
        <w:t>日止。参与供应商在采购公告期间如对采购文件有疑义，应当于公告日期截止前2个工作日以书面形式提交至我院纪检监察室，否则视为无疑义。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7</w:t>
      </w:r>
      <w:r>
        <w:rPr>
          <w:rFonts w:hint="eastAsia" w:ascii="宋体" w:hAnsi="宋体" w:cs="宋体"/>
          <w:kern w:val="0"/>
          <w:sz w:val="24"/>
          <w:u w:val="none"/>
        </w:rPr>
        <w:t>月</w:t>
      </w:r>
      <w:r>
        <w:rPr>
          <w:rFonts w:hint="eastAsia" w:ascii="宋体" w:hAnsi="宋体" w:cs="宋体"/>
          <w:kern w:val="0"/>
          <w:sz w:val="24"/>
          <w:u w:val="none"/>
          <w:lang w:val="en-US" w:eastAsia="zh-CN"/>
        </w:rPr>
        <w:t>3</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kern w:val="0"/>
          <w:sz w:val="24"/>
          <w:u w:val="none"/>
          <w:lang w:val="en-US" w:eastAsia="zh-CN"/>
        </w:rPr>
        <w:t>。</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7月4日（暂定）</w:t>
      </w:r>
    </w:p>
    <w:p w14:paraId="1BEE4C0E">
      <w:pPr>
        <w:spacing w:line="460" w:lineRule="exact"/>
        <w:ind w:firstLine="480" w:firstLineChars="2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楼</w:t>
      </w:r>
      <w:r>
        <w:rPr>
          <w:rFonts w:hint="eastAsia" w:ascii="宋体" w:hAnsi="宋体" w:cs="宋体"/>
          <w:kern w:val="0"/>
          <w:sz w:val="24"/>
          <w:u w:val="none"/>
          <w:lang w:val="en-US" w:eastAsia="zh-CN"/>
        </w:rPr>
        <w:t>招标采购科</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w:t>
      </w:r>
      <w:r>
        <w:rPr>
          <w:rFonts w:hint="eastAsia" w:ascii="宋体" w:hAnsi="宋体" w:cs="宋体"/>
          <w:kern w:val="0"/>
          <w:sz w:val="24"/>
          <w:u w:val="none"/>
          <w:lang w:val="en-US" w:eastAsia="zh-CN"/>
        </w:rPr>
        <w:t>方式</w:t>
      </w:r>
      <w:r>
        <w:rPr>
          <w:rFonts w:hint="eastAsia" w:ascii="宋体" w:hAnsi="宋体" w:eastAsia="宋体" w:cs="宋体"/>
          <w:kern w:val="0"/>
          <w:sz w:val="24"/>
          <w:u w:val="none"/>
          <w:lang w:val="en-US" w:eastAsia="zh-CN"/>
        </w:rPr>
        <w:t xml:space="preserve">： </w:t>
      </w:r>
    </w:p>
    <w:p w14:paraId="2796C199">
      <w:pPr>
        <w:pStyle w:val="12"/>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p>
    <w:p w14:paraId="6BC17ED6">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20706EA6">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p>
    <w:p w14:paraId="11C5DED4">
      <w:pPr>
        <w:rPr>
          <w:rFonts w:hint="eastAsia" w:ascii="新宋体" w:hAnsi="新宋体" w:eastAsia="新宋体" w:cs="新宋体"/>
          <w:i w:val="0"/>
          <w:iCs w:val="0"/>
          <w:caps w:val="0"/>
          <w:color w:val="000000"/>
          <w:spacing w:val="0"/>
          <w:kern w:val="0"/>
          <w:sz w:val="24"/>
          <w:szCs w:val="24"/>
          <w:shd w:val="clear" w:color="auto" w:fill="FFFFFF"/>
          <w:lang w:val="en-US" w:eastAsia="zh-CN" w:bidi="ar"/>
        </w:rPr>
      </w:pPr>
    </w:p>
    <w:p w14:paraId="3C018E43">
      <w:pPr>
        <w:pStyle w:val="2"/>
        <w:rPr>
          <w:rFonts w:hint="eastAsia" w:ascii="新宋体" w:hAnsi="新宋体" w:eastAsia="新宋体" w:cs="新宋体"/>
          <w:i w:val="0"/>
          <w:iCs w:val="0"/>
          <w:caps w:val="0"/>
          <w:color w:val="000000"/>
          <w:spacing w:val="0"/>
          <w:kern w:val="0"/>
          <w:sz w:val="24"/>
          <w:szCs w:val="24"/>
          <w:shd w:val="clear" w:color="auto" w:fill="FFFFFF"/>
          <w:lang w:val="en-US" w:eastAsia="zh-CN" w:bidi="ar"/>
        </w:rPr>
      </w:pPr>
    </w:p>
    <w:p w14:paraId="30163F54">
      <w:pPr>
        <w:rPr>
          <w:rFonts w:hint="eastAsia"/>
          <w:lang w:val="zh-CN"/>
        </w:rPr>
      </w:pPr>
    </w:p>
    <w:p w14:paraId="54710F64">
      <w:pPr>
        <w:pStyle w:val="3"/>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4"/>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5"/>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采购人：资阳市雁江区妇幼保健计划生育服务中心</w:t>
            </w:r>
          </w:p>
          <w:p w14:paraId="3BA20E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lang w:eastAsia="zh-CN"/>
              </w:rPr>
              <w:t>地　址：资阳市雁江区雷音大道</w:t>
            </w:r>
            <w:r>
              <w:rPr>
                <w:rFonts w:hint="eastAsia" w:ascii="宋体" w:hAnsi="宋体" w:eastAsia="宋体" w:cs="Times New Roman"/>
                <w:sz w:val="24"/>
                <w:lang w:val="en-US" w:eastAsia="zh-CN"/>
              </w:rPr>
              <w:t>512</w:t>
            </w:r>
            <w:r>
              <w:rPr>
                <w:rFonts w:hint="eastAsia" w:ascii="宋体" w:hAnsi="宋体" w:eastAsia="宋体" w:cs="Times New Roman"/>
                <w:sz w:val="24"/>
                <w:lang w:eastAsia="zh-CN"/>
              </w:rPr>
              <w:t>号</w:t>
            </w:r>
          </w:p>
          <w:p w14:paraId="2351A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项目联系人：王老师</w:t>
            </w:r>
          </w:p>
          <w:p w14:paraId="7D0EF3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eastAsia="zh-CN"/>
              </w:rPr>
              <w:t>电话：</w:t>
            </w:r>
            <w:r>
              <w:rPr>
                <w:rFonts w:hint="eastAsia" w:ascii="宋体" w:hAnsi="宋体" w:eastAsia="宋体" w:cs="Times New Roman"/>
                <w:sz w:val="24"/>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12CCC4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资阳市雁江区妇幼保健计划生育服务中心内控制度建设服务</w:t>
            </w:r>
            <w:r>
              <w:rPr>
                <w:rFonts w:hint="eastAsia" w:ascii="宋体" w:hAnsi="宋体" w:cs="Times New Roman"/>
                <w:sz w:val="24"/>
                <w:lang w:val="en-US" w:eastAsia="zh-CN"/>
              </w:rPr>
              <w:t>（第三次）</w:t>
            </w:r>
            <w:r>
              <w:rPr>
                <w:rFonts w:hint="eastAsia" w:ascii="宋体" w:hAnsi="宋体" w:eastAsia="宋体" w:cs="Times New Roman"/>
                <w:sz w:val="24"/>
                <w:lang w:val="en-US" w:eastAsia="zh-CN"/>
              </w:rPr>
              <w:t>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80000元（超过限价为无效投标）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根据《行政事业单位内部控制规范（试行）》（财会﹝2012﹞21号）、《</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行政事业单位内部控制报告管理制度(试行)</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财会〔2017〕1号</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公立医院内部控制管理办法》（国卫财务发〔2020〕31号）、《关于进一步加强公立医院内部控制建设的指导意见》（财会﹝2023﹞31号）等相关文件要求以及（以下简称“医院”）内控规范化的需要，协助医院构建符合要求及工作实际的内控组织体系、制度体系及执行体系，全面规范内控管理工作，提升</w:t>
            </w:r>
            <w:r>
              <w:rPr>
                <w:rFonts w:hint="eastAsia" w:ascii="宋体" w:hAnsi="宋体" w:eastAsia="宋体" w:cs="Times New Roman"/>
                <w:sz w:val="24"/>
                <w:lang w:val="en-US" w:eastAsia="zh-CN"/>
              </w:rPr>
              <w:t>内控</w:t>
            </w:r>
            <w:r>
              <w:rPr>
                <w:rFonts w:hint="eastAsia" w:ascii="宋体" w:hAnsi="宋体" w:eastAsia="宋体" w:cs="Times New Roman"/>
                <w:sz w:val="24"/>
                <w:lang w:eastAsia="zh-CN"/>
              </w:rPr>
              <w:t>治理效能。</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tcBorders>
              <w:left w:val="single" w:color="auto" w:sz="8" w:space="0"/>
            </w:tcBorders>
            <w:noWrap w:val="0"/>
            <w:vAlign w:val="center"/>
          </w:tcPr>
          <w:p w14:paraId="653492F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（2）供应商未被“信用中国”网站（www.creditchina.gov.cn）、“中国政府采购网”网站（www.ccgp.gov.cn）等列入失信被执行人、重大税收违法案件当事人名单、政府采购严重违法失信行为。</w:t>
            </w:r>
            <w:r>
              <w:rPr>
                <w:rFonts w:hint="eastAsia" w:ascii="宋体" w:hAnsi="宋体" w:eastAsia="宋体" w:cs="宋体"/>
                <w:kern w:val="2"/>
                <w:sz w:val="24"/>
                <w:szCs w:val="24"/>
                <w:lang w:val="en-US" w:eastAsia="zh-CN" w:bidi="ar-SA"/>
              </w:rPr>
              <w:t>（可提供承诺函）</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7"/>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3578DCA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控专题培训。根据内控建设的最新要求，结合医院内控建设的现状及要点，提供内部控制建设培训服务。对建设路径、整体解决方案、建设内容、建设方法及措施、内控建设职责分工、工作计划以及内控建设的要求和理论知识进行讲解。</w:t>
            </w:r>
          </w:p>
          <w:p w14:paraId="78B5C0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内控风险测评。通过开展内控风险测评工作，发现医院现有重点业务领域内控的不足之处和薄弱环节，查找风险隐患，明确建设重点，在建设过程中有针对性提出问题并给出整改建议，出具医院《医院重点业务领域风险点防控清单》和《内部控制风险测评报告》。</w:t>
            </w:r>
          </w:p>
          <w:p w14:paraId="6FAD3D5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构建医院内部控制制度体系。对标财政部门、卫健委内部控制建设新要求及单位管理实际，建立医院预算业务、收支管理、采购管理、资产管理、基本建设项目管理、合同管理、医疗业务、医保管理、科研项目管理、互联网诊疗管理、医联体管理、生物安全管理、信息化建设业务内部控制基本制度。</w:t>
            </w:r>
          </w:p>
          <w:p w14:paraId="66D8BF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编制内部控制手册。紧密结合医院内部控制制度体系内容，将控制措施全面融入工作各个环节，制定详尽的书面流程，覆盖12项重点业务活动领域，确保医院各科室、各岗位以及各项工作流程均得到有效控制，并特别关注对关键事项、关键环节、关键岗位及高风险领域的重点防控。</w:t>
            </w:r>
          </w:p>
          <w:p w14:paraId="35FC62F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5.人员要求</w:t>
            </w:r>
          </w:p>
          <w:p w14:paraId="2958ABD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项目负责人（项目经理）：需为本单位人员，具有注册会计师或审计类高级职称证书，须提供拟派人员相关证书及近5个月（含投标当月）内任意连续3个月的社保缴费凭证（如为新入职员工则按实际缴纳月数提供社保并提供相应证明资料）复印件加盖公章；</w:t>
            </w:r>
          </w:p>
          <w:p w14:paraId="49B4E577">
            <w:pPr>
              <w:spacing w:line="360" w:lineRule="auto"/>
              <w:ind w:left="0" w:leftChars="0"/>
              <w:jc w:val="both"/>
              <w:rPr>
                <w:rFonts w:hint="eastAsia" w:ascii="Helvetica" w:hAnsi="Helvetica" w:eastAsia="宋体" w:cs="Helvetica"/>
                <w:i w:val="0"/>
                <w:iCs w:val="0"/>
                <w:caps w:val="0"/>
                <w:color w:val="000000"/>
                <w:spacing w:val="0"/>
                <w:sz w:val="24"/>
                <w:szCs w:val="24"/>
                <w:shd w:val="clear" w:fill="FFFFFF"/>
                <w:lang w:val="en-US" w:eastAsia="zh-CN"/>
              </w:rPr>
            </w:pPr>
            <w:r>
              <w:rPr>
                <w:rFonts w:hint="eastAsia" w:ascii="宋体" w:hAnsi="宋体" w:eastAsia="宋体" w:cs="宋体"/>
                <w:kern w:val="2"/>
                <w:sz w:val="24"/>
                <w:szCs w:val="24"/>
                <w:lang w:val="en-US" w:eastAsia="zh-CN" w:bidi="ar-SA"/>
              </w:rPr>
              <w:t>5.2其他人员要求：除项目负责人外，还需拟派不少于3名工作人员，其中1名【具备中级会计师及以上职称】或【通过注册会计师考试】人员,1名内控相关经验人员（内控相关经验证明材料：劳动合同或本人签字的内控审计底稿或内控审计报告或其他可以证明有内控审计经验的佐证材料），并提供拟派人员相关证书及近5个月（含投标当月）内任意连续3个月的社保缴费凭证（如为新入职员工则按实际缴纳月数提供社保并提供相应证明资料）复印件加盖公章；</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2"/>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63B2F92F">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6401E01F">
            <w:pPr>
              <w:pStyle w:val="2"/>
              <w:jc w:val="center"/>
              <w:rPr>
                <w:rFonts w:hint="eastAsia"/>
              </w:rPr>
            </w:pPr>
            <w:r>
              <w:rPr>
                <w:rFonts w:hint="eastAsia" w:ascii="宋体" w:hAnsi="宋体" w:eastAsia="宋体" w:cs="Times New Roman"/>
                <w:b w:val="0"/>
                <w:color w:val="000000"/>
                <w:kern w:val="2"/>
                <w:sz w:val="24"/>
                <w:szCs w:val="24"/>
                <w:lang w:val="en-US" w:eastAsia="zh-CN" w:bidi="ar-SA"/>
              </w:rPr>
              <w:t>（实质性要求）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w:t>
            </w:r>
            <w:r>
              <w:rPr>
                <w:rFonts w:hint="eastAsia" w:ascii="宋体" w:hAnsi="宋体"/>
                <w:sz w:val="24"/>
                <w:lang w:eastAsia="zh-CN"/>
              </w:rPr>
              <w:t>等</w:t>
            </w:r>
            <w:r>
              <w:rPr>
                <w:rFonts w:hint="eastAsia" w:ascii="宋体" w:hAnsi="宋体"/>
                <w:sz w:val="24"/>
              </w:rPr>
              <w:t>网站</w:t>
            </w:r>
            <w:r>
              <w:rPr>
                <w:rFonts w:hint="eastAsia" w:ascii="宋体" w:hAnsi="宋体" w:eastAsia="宋体" w:cs="Times New Roman"/>
                <w:sz w:val="24"/>
              </w:rPr>
              <w:t>查</w:t>
            </w:r>
            <w:r>
              <w:rPr>
                <w:rFonts w:hint="eastAsia" w:ascii="宋体" w:hAnsi="宋体"/>
                <w:sz w:val="24"/>
              </w:rPr>
              <w:t>询并打印相应信用记录（</w:t>
            </w:r>
            <w:r>
              <w:rPr>
                <w:rFonts w:hint="eastAsia" w:ascii="宋体" w:hAnsi="宋体"/>
                <w:sz w:val="24"/>
                <w:lang w:eastAsia="zh-CN"/>
              </w:rPr>
              <w:t>可提供承诺函或</w:t>
            </w:r>
            <w:r>
              <w:rPr>
                <w:rFonts w:hint="eastAsia" w:ascii="宋体" w:hAnsi="宋体"/>
                <w:sz w:val="24"/>
              </w:rPr>
              <w:t>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w:t>
            </w:r>
            <w:r>
              <w:rPr>
                <w:rFonts w:hint="eastAsia" w:ascii="宋体" w:hAnsi="宋体" w:cs="Times New Roman"/>
                <w:sz w:val="24"/>
                <w:lang w:eastAsia="zh-CN"/>
              </w:rPr>
              <w:t>售后</w:t>
            </w:r>
            <w:r>
              <w:rPr>
                <w:rFonts w:hint="eastAsia" w:ascii="宋体" w:hAnsi="宋体" w:eastAsia="宋体" w:cs="Times New Roman"/>
                <w:sz w:val="24"/>
                <w:lang w:eastAsia="zh-CN"/>
              </w:rPr>
              <w:t>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r>
              <w:rPr>
                <w:rFonts w:hint="eastAsia" w:ascii="宋体" w:hAnsi="宋体" w:cs="Times New Roman"/>
                <w:sz w:val="24"/>
                <w:lang w:val="en-US" w:eastAsia="zh-CN"/>
              </w:rPr>
              <w:t>（提供2份医院内控制度建设采购中标通知书或合同复印件）</w:t>
            </w:r>
            <w:r>
              <w:rPr>
                <w:rFonts w:hint="eastAsia" w:ascii="宋体" w:hAnsi="宋体" w:eastAsia="宋体" w:cs="Times New Roman"/>
                <w:sz w:val="24"/>
                <w:lang w:val="en-US" w:eastAsia="zh-CN"/>
              </w:rPr>
              <w:t>。</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2025年7月4日17:00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default" w:ascii="宋体" w:hAnsi="宋体" w:eastAsia="微软雅黑"/>
                <w:color w:val="000000"/>
                <w:sz w:val="24"/>
                <w:szCs w:val="24"/>
                <w:lang w:val="en-US"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w:t>
            </w:r>
            <w:r>
              <w:rPr>
                <w:rFonts w:hint="eastAsia" w:cs="Times New Roman"/>
                <w:color w:val="000000"/>
                <w:kern w:val="2"/>
                <w:sz w:val="24"/>
                <w:szCs w:val="24"/>
                <w:lang w:val="en-US" w:eastAsia="zh-CN" w:bidi="ar-SA"/>
              </w:rPr>
              <w:t>再次报价</w:t>
            </w:r>
            <w:r>
              <w:rPr>
                <w:rFonts w:hint="eastAsia" w:ascii="宋体" w:hAnsi="宋体" w:eastAsia="宋体" w:cs="Times New Roman"/>
                <w:color w:val="000000"/>
                <w:kern w:val="2"/>
                <w:sz w:val="24"/>
                <w:szCs w:val="24"/>
                <w:lang w:val="en-US" w:eastAsia="zh-CN" w:bidi="ar-SA"/>
              </w:rPr>
              <w:t>决定中标候选人</w:t>
            </w:r>
            <w:r>
              <w:rPr>
                <w:rFonts w:hint="eastAsia" w:cs="Times New Roman"/>
                <w:color w:val="000000"/>
                <w:kern w:val="2"/>
                <w:sz w:val="24"/>
                <w:szCs w:val="24"/>
                <w:lang w:val="en-US" w:eastAsia="zh-CN" w:bidi="ar-SA"/>
              </w:rPr>
              <w:t>，以此类推</w:t>
            </w:r>
            <w:r>
              <w:rPr>
                <w:rFonts w:hint="eastAsia" w:ascii="宋体" w:hAnsi="宋体" w:eastAsia="宋体" w:cs="Times New Roman"/>
                <w:color w:val="000000"/>
                <w:kern w:val="2"/>
                <w:sz w:val="24"/>
                <w:szCs w:val="24"/>
                <w:lang w:val="en-US" w:eastAsia="zh-CN" w:bidi="ar-SA"/>
              </w:rPr>
              <w:t>。</w:t>
            </w:r>
            <w:r>
              <w:rPr>
                <w:rFonts w:hint="eastAsia" w:cs="Times New Roman"/>
                <w:color w:val="000000"/>
                <w:kern w:val="2"/>
                <w:sz w:val="24"/>
                <w:szCs w:val="24"/>
                <w:lang w:val="en-US" w:eastAsia="zh-CN" w:bidi="ar-SA"/>
              </w:rPr>
              <w:t>若通过资格性和符合性审查，最后提交有效报价供应商大于1家，则与仅有供应商进行谈判议价。</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5"/>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5"/>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5"/>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5"/>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5"/>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5"/>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5"/>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5"/>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6"/>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w:t>
            </w:r>
            <w:r>
              <w:rPr>
                <w:rFonts w:hint="eastAsia" w:ascii="宋体" w:hAnsi="宋体" w:cs="Times New Roman"/>
                <w:color w:val="000000"/>
                <w:kern w:val="2"/>
                <w:sz w:val="24"/>
                <w:szCs w:val="24"/>
                <w:lang w:val="en-US" w:eastAsia="zh-CN" w:bidi="ar-SA"/>
              </w:rPr>
              <w:t>6个月内，完成采购人要求的报告及手册编制交付</w:t>
            </w:r>
            <w:r>
              <w:rPr>
                <w:rFonts w:hint="eastAsia" w:ascii="宋体" w:hAnsi="宋体" w:eastAsia="宋体" w:cs="Times New Roman"/>
                <w:color w:val="000000"/>
                <w:kern w:val="2"/>
                <w:sz w:val="24"/>
                <w:szCs w:val="24"/>
                <w:lang w:val="en-US" w:eastAsia="zh-CN" w:bidi="ar-SA"/>
              </w:rPr>
              <w:t>。</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（3）验收标准：按本项目采购文件要求、乙方的响应文件及承诺进行验收；</w:t>
            </w:r>
            <w:r>
              <w:rPr>
                <w:rFonts w:hint="eastAsia" w:ascii="宋体" w:hAnsi="宋体" w:cs="Times New Roman"/>
                <w:color w:val="000000"/>
                <w:kern w:val="2"/>
                <w:sz w:val="24"/>
                <w:szCs w:val="24"/>
                <w:lang w:val="en-US" w:eastAsia="zh-CN" w:bidi="ar-SA"/>
              </w:rPr>
              <w:t>以及</w:t>
            </w:r>
            <w:r>
              <w:rPr>
                <w:rFonts w:hint="eastAsia" w:ascii="宋体" w:hAnsi="宋体" w:eastAsia="宋体" w:cs="Times New Roman"/>
                <w:color w:val="000000"/>
                <w:kern w:val="2"/>
                <w:sz w:val="24"/>
                <w:szCs w:val="24"/>
                <w:lang w:val="en-US" w:eastAsia="zh-CN" w:bidi="ar-SA"/>
              </w:rPr>
              <w:t>《财政部关于进一步加强政府采购需求和履约验收管理的指导意见》（财库〔2016〕205号）、《政府采购需求管理办法》财库〔2021〕22号标准进行验收。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验收合格后，供应商提交完整支付凭证，采购人完成付款流程30日内进行转账支付。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p>
        </w:tc>
      </w:tr>
    </w:tbl>
    <w:p w14:paraId="356B216A"/>
    <w:p w14:paraId="6E2B0223">
      <w:pPr>
        <w:pStyle w:val="12"/>
      </w:pPr>
    </w:p>
    <w:p w14:paraId="1BDA1782"/>
    <w:p w14:paraId="0BA838CB">
      <w:pPr>
        <w:pStyle w:val="12"/>
      </w:pPr>
    </w:p>
    <w:p w14:paraId="0802E1AB"/>
    <w:p w14:paraId="7553E24D">
      <w:pPr>
        <w:pStyle w:val="12"/>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6D399EC6">
      <w:pPr>
        <w:rPr>
          <w:rFonts w:hint="eastAsia"/>
        </w:rPr>
      </w:pPr>
    </w:p>
    <w:p w14:paraId="6CCB2B1F">
      <w:pPr>
        <w:rPr>
          <w:rFonts w:hint="eastAsia"/>
        </w:rPr>
      </w:pPr>
    </w:p>
    <w:p w14:paraId="4F88CD5C">
      <w:pPr>
        <w:rPr>
          <w:rFonts w:hint="eastAsia"/>
        </w:rPr>
      </w:pPr>
    </w:p>
    <w:p w14:paraId="5919B778">
      <w:pPr>
        <w:rPr>
          <w:rFonts w:hint="eastAsia"/>
        </w:rPr>
      </w:pPr>
    </w:p>
    <w:p w14:paraId="29C39F8D">
      <w:pPr>
        <w:rPr>
          <w:rFonts w:hint="eastAsia"/>
        </w:rPr>
      </w:pPr>
    </w:p>
    <w:p w14:paraId="2ADD4A72">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2"/>
      </w:pPr>
    </w:p>
    <w:p w14:paraId="61F2A343"/>
    <w:p w14:paraId="64D68ABD">
      <w:pPr>
        <w:pStyle w:val="12"/>
      </w:pPr>
    </w:p>
    <w:p w14:paraId="682C229B"/>
    <w:p w14:paraId="5F91129F">
      <w:pPr>
        <w:pStyle w:val="12"/>
      </w:pPr>
    </w:p>
    <w:p w14:paraId="70F4C603"/>
    <w:p w14:paraId="6A11ADB1">
      <w:pPr>
        <w:pStyle w:val="7"/>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2"/>
        <w:rPr>
          <w:rFonts w:hint="eastAsia" w:ascii="宋体" w:hAnsi="宋体"/>
          <w:b/>
          <w:kern w:val="0"/>
          <w:sz w:val="32"/>
          <w:szCs w:val="32"/>
        </w:rPr>
      </w:pPr>
    </w:p>
    <w:p w14:paraId="52985E16">
      <w:pPr>
        <w:rPr>
          <w:rFonts w:hint="eastAsia" w:ascii="宋体" w:hAnsi="宋体"/>
          <w:b/>
          <w:kern w:val="0"/>
          <w:sz w:val="32"/>
          <w:szCs w:val="32"/>
        </w:rPr>
      </w:pPr>
    </w:p>
    <w:p w14:paraId="5FA30CD4">
      <w:pPr>
        <w:pStyle w:val="12"/>
        <w:rPr>
          <w:rFonts w:hint="eastAsia" w:ascii="宋体" w:hAnsi="宋体"/>
          <w:b/>
          <w:kern w:val="0"/>
          <w:sz w:val="32"/>
          <w:szCs w:val="32"/>
        </w:rPr>
      </w:pPr>
    </w:p>
    <w:p w14:paraId="36413A5A">
      <w:pPr>
        <w:rPr>
          <w:rFonts w:hint="eastAsia" w:ascii="宋体" w:hAnsi="宋体"/>
          <w:b/>
          <w:kern w:val="0"/>
          <w:sz w:val="32"/>
          <w:szCs w:val="32"/>
        </w:rPr>
      </w:pPr>
    </w:p>
    <w:p w14:paraId="5C7B226E">
      <w:pPr>
        <w:pStyle w:val="12"/>
        <w:rPr>
          <w:rFonts w:hint="eastAsia" w:ascii="宋体" w:hAnsi="宋体"/>
          <w:b/>
          <w:kern w:val="0"/>
          <w:sz w:val="32"/>
          <w:szCs w:val="32"/>
        </w:rPr>
      </w:pPr>
    </w:p>
    <w:p w14:paraId="1BB3B0C6">
      <w:pPr>
        <w:rPr>
          <w:rFonts w:hint="eastAsia" w:ascii="宋体" w:hAnsi="宋体"/>
          <w:b/>
          <w:kern w:val="0"/>
          <w:sz w:val="32"/>
          <w:szCs w:val="32"/>
        </w:rPr>
      </w:pPr>
    </w:p>
    <w:p w14:paraId="05ACB1E1">
      <w:pPr>
        <w:pStyle w:val="12"/>
        <w:rPr>
          <w:rFonts w:hint="eastAsia" w:ascii="宋体" w:hAnsi="宋体"/>
          <w:b/>
          <w:kern w:val="0"/>
          <w:sz w:val="32"/>
          <w:szCs w:val="32"/>
        </w:rPr>
      </w:pPr>
    </w:p>
    <w:p w14:paraId="0077DC7E">
      <w:pPr>
        <w:rPr>
          <w:rFonts w:hint="eastAsia" w:ascii="宋体" w:hAnsi="宋体"/>
          <w:b/>
          <w:kern w:val="0"/>
          <w:sz w:val="32"/>
          <w:szCs w:val="32"/>
        </w:rPr>
      </w:pPr>
    </w:p>
    <w:p w14:paraId="36568161">
      <w:pPr>
        <w:pStyle w:val="12"/>
        <w:rPr>
          <w:rFonts w:hint="eastAsia" w:ascii="宋体" w:hAnsi="宋体"/>
          <w:b/>
          <w:kern w:val="0"/>
          <w:sz w:val="32"/>
          <w:szCs w:val="32"/>
        </w:rPr>
      </w:pPr>
    </w:p>
    <w:p w14:paraId="443D8C24">
      <w:pPr>
        <w:rPr>
          <w:rFonts w:hint="eastAsia" w:ascii="宋体" w:hAnsi="宋体"/>
          <w:b/>
          <w:kern w:val="0"/>
          <w:sz w:val="32"/>
          <w:szCs w:val="32"/>
        </w:rPr>
      </w:pPr>
    </w:p>
    <w:p w14:paraId="1E5D79D2">
      <w:pPr>
        <w:pStyle w:val="12"/>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2"/>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2"/>
      </w:pPr>
    </w:p>
    <w:p w14:paraId="777383A4"/>
    <w:p w14:paraId="580A61DA">
      <w:pPr>
        <w:pStyle w:val="12"/>
      </w:pPr>
    </w:p>
    <w:p w14:paraId="1E08730D"/>
    <w:p w14:paraId="5CEE660D">
      <w:pPr>
        <w:pStyle w:val="12"/>
      </w:pPr>
    </w:p>
    <w:p w14:paraId="6031F35A"/>
    <w:p w14:paraId="2257EAAB">
      <w:pPr>
        <w:pStyle w:val="12"/>
      </w:pPr>
    </w:p>
    <w:p w14:paraId="1ECBADD0"/>
    <w:p w14:paraId="15D8F73C">
      <w:pPr>
        <w:pStyle w:val="12"/>
      </w:pPr>
    </w:p>
    <w:p w14:paraId="22633C5E"/>
    <w:p w14:paraId="042574A5">
      <w:pPr>
        <w:pStyle w:val="12"/>
      </w:pPr>
    </w:p>
    <w:p w14:paraId="0853EF54"/>
    <w:p w14:paraId="652B5379">
      <w:pPr>
        <w:pStyle w:val="12"/>
      </w:pPr>
    </w:p>
    <w:p w14:paraId="5BFF8B04"/>
    <w:p w14:paraId="249775BE">
      <w:pPr>
        <w:pStyle w:val="12"/>
      </w:pPr>
    </w:p>
    <w:p w14:paraId="27920D7A"/>
    <w:p w14:paraId="6F1C4048">
      <w:pPr>
        <w:pStyle w:val="12"/>
      </w:pPr>
    </w:p>
    <w:p w14:paraId="397862EE"/>
    <w:p w14:paraId="41FA14C7">
      <w:pPr>
        <w:pStyle w:val="12"/>
      </w:pPr>
    </w:p>
    <w:p w14:paraId="57390D41"/>
    <w:p w14:paraId="4064914E">
      <w:pPr>
        <w:pStyle w:val="12"/>
      </w:pPr>
    </w:p>
    <w:p w14:paraId="0EF9B593"/>
    <w:p w14:paraId="1550E640">
      <w:pPr>
        <w:pStyle w:val="12"/>
      </w:pPr>
    </w:p>
    <w:p w14:paraId="61123ACB"/>
    <w:p w14:paraId="4BB7F089">
      <w:pPr>
        <w:pStyle w:val="12"/>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7"/>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2"/>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2"/>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2"/>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2"/>
      </w:pPr>
    </w:p>
    <w:p w14:paraId="4C9625E4"/>
    <w:p w14:paraId="5FECF932">
      <w:pPr>
        <w:pStyle w:val="12"/>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2"/>
        <w:rPr>
          <w:rFonts w:hint="eastAsia"/>
        </w:rPr>
      </w:pPr>
    </w:p>
    <w:p w14:paraId="6161CE93">
      <w:pPr>
        <w:rPr>
          <w:rFonts w:hint="eastAsia"/>
        </w:rPr>
      </w:pPr>
    </w:p>
    <w:p w14:paraId="2541EA76">
      <w:pPr>
        <w:pStyle w:val="12"/>
        <w:rPr>
          <w:rFonts w:hint="eastAsia"/>
        </w:rPr>
      </w:pPr>
    </w:p>
    <w:p w14:paraId="4856EEA3">
      <w:pPr>
        <w:rPr>
          <w:rFonts w:hint="eastAsia"/>
        </w:rPr>
      </w:pPr>
    </w:p>
    <w:p w14:paraId="53A34EAD">
      <w:pPr>
        <w:pStyle w:val="12"/>
        <w:rPr>
          <w:rFonts w:hint="eastAsia"/>
        </w:rPr>
      </w:pPr>
    </w:p>
    <w:p w14:paraId="5342A580">
      <w:pPr>
        <w:rPr>
          <w:rFonts w:hint="eastAsia"/>
        </w:rPr>
      </w:pPr>
    </w:p>
    <w:p w14:paraId="3F1487D3">
      <w:pPr>
        <w:pStyle w:val="12"/>
        <w:rPr>
          <w:rFonts w:hint="eastAsia"/>
        </w:rPr>
      </w:pPr>
    </w:p>
    <w:p w14:paraId="416919C0">
      <w:pPr>
        <w:rPr>
          <w:rFonts w:hint="eastAsia"/>
        </w:rPr>
      </w:pPr>
    </w:p>
    <w:p w14:paraId="7898F75D">
      <w:pPr>
        <w:pStyle w:val="12"/>
        <w:rPr>
          <w:rFonts w:hint="eastAsia"/>
        </w:rPr>
      </w:pPr>
    </w:p>
    <w:p w14:paraId="639CA3FE">
      <w:pPr>
        <w:rPr>
          <w:rFonts w:hint="eastAsia"/>
        </w:rPr>
      </w:pPr>
    </w:p>
    <w:p w14:paraId="2EDFF0E9">
      <w:pPr>
        <w:pStyle w:val="12"/>
        <w:rPr>
          <w:rFonts w:hint="eastAsia"/>
        </w:rPr>
      </w:pPr>
    </w:p>
    <w:p w14:paraId="4A3948D8">
      <w:pPr>
        <w:rPr>
          <w:rFonts w:hint="eastAsia"/>
        </w:rPr>
      </w:pPr>
    </w:p>
    <w:p w14:paraId="400231B0">
      <w:pPr>
        <w:pStyle w:val="12"/>
        <w:rPr>
          <w:rFonts w:hint="eastAsia"/>
        </w:rPr>
      </w:pPr>
    </w:p>
    <w:p w14:paraId="4BD618A0">
      <w:pPr>
        <w:rPr>
          <w:rFonts w:hint="eastAsia"/>
        </w:rPr>
      </w:pPr>
    </w:p>
    <w:p w14:paraId="43173565">
      <w:pPr>
        <w:pStyle w:val="12"/>
        <w:rPr>
          <w:rFonts w:hint="eastAsia"/>
        </w:rPr>
      </w:pPr>
    </w:p>
    <w:p w14:paraId="14E8A03A">
      <w:pPr>
        <w:rPr>
          <w:rFonts w:hint="eastAsia"/>
        </w:rPr>
      </w:pPr>
    </w:p>
    <w:p w14:paraId="71E9F6ED">
      <w:pPr>
        <w:pStyle w:val="12"/>
        <w:rPr>
          <w:rFonts w:hint="eastAsia"/>
        </w:rPr>
      </w:pPr>
    </w:p>
    <w:p w14:paraId="35A0652D">
      <w:pPr>
        <w:rPr>
          <w:rFonts w:hint="eastAsia"/>
        </w:rPr>
      </w:pPr>
    </w:p>
    <w:p w14:paraId="722C51D7">
      <w:pPr>
        <w:pStyle w:val="12"/>
        <w:rPr>
          <w:rFonts w:hint="eastAsia"/>
        </w:rPr>
      </w:pPr>
    </w:p>
    <w:p w14:paraId="45027FE6">
      <w:pPr>
        <w:rPr>
          <w:rFonts w:hint="eastAsia"/>
        </w:rPr>
      </w:pPr>
    </w:p>
    <w:p w14:paraId="2B2520E5">
      <w:pPr>
        <w:pStyle w:val="12"/>
        <w:rPr>
          <w:rFonts w:hint="eastAsia"/>
        </w:rPr>
      </w:pPr>
    </w:p>
    <w:p w14:paraId="12D89EA5">
      <w:pPr>
        <w:rPr>
          <w:rFonts w:hint="eastAsia"/>
        </w:rPr>
      </w:pPr>
    </w:p>
    <w:p w14:paraId="37880896">
      <w:pPr>
        <w:pStyle w:val="12"/>
        <w:rPr>
          <w:rFonts w:hint="eastAsia"/>
        </w:rPr>
      </w:pPr>
    </w:p>
    <w:p w14:paraId="0969E9E4">
      <w:pPr>
        <w:rPr>
          <w:rFonts w:hint="eastAsia"/>
        </w:rPr>
      </w:pPr>
    </w:p>
    <w:p w14:paraId="7211E305">
      <w:pPr>
        <w:pStyle w:val="12"/>
        <w:rPr>
          <w:rFonts w:hint="eastAsia"/>
        </w:rPr>
      </w:pPr>
    </w:p>
    <w:p w14:paraId="21B3B53D">
      <w:pPr>
        <w:rPr>
          <w:rFonts w:hint="eastAsia"/>
        </w:rPr>
      </w:pPr>
    </w:p>
    <w:p w14:paraId="59845ADB">
      <w:pPr>
        <w:pStyle w:val="12"/>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7"/>
        <w:numPr>
          <w:ilvl w:val="0"/>
          <w:numId w:val="0"/>
        </w:numPr>
        <w:ind w:leftChars="0"/>
        <w:rPr>
          <w:rFonts w:hint="eastAsia"/>
        </w:rPr>
      </w:pPr>
    </w:p>
    <w:p w14:paraId="40EB919C">
      <w:pPr>
        <w:rPr>
          <w:rFonts w:hint="eastAsia"/>
        </w:rPr>
      </w:pPr>
    </w:p>
    <w:p w14:paraId="286A7E56">
      <w:pPr>
        <w:pStyle w:val="7"/>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4995"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7"/>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7"/>
        <w:rPr>
          <w:rFonts w:hint="eastAsia"/>
        </w:rPr>
      </w:pPr>
    </w:p>
    <w:p w14:paraId="06D6B4F0">
      <w:pPr>
        <w:rPr>
          <w:rFonts w:hint="eastAsia"/>
        </w:rPr>
      </w:pPr>
    </w:p>
    <w:p w14:paraId="2FFCC2DD">
      <w:pPr>
        <w:pStyle w:val="7"/>
        <w:rPr>
          <w:rFonts w:hint="eastAsia"/>
        </w:rPr>
      </w:pPr>
    </w:p>
    <w:p w14:paraId="7C06F30A">
      <w:pPr>
        <w:rPr>
          <w:rFonts w:hint="eastAsia"/>
        </w:rPr>
      </w:pPr>
    </w:p>
    <w:p w14:paraId="3D0EF73A">
      <w:pPr>
        <w:pStyle w:val="7"/>
        <w:rPr>
          <w:rFonts w:hint="eastAsia"/>
        </w:rPr>
      </w:pPr>
    </w:p>
    <w:p w14:paraId="6E198FB7">
      <w:pPr>
        <w:rPr>
          <w:rFonts w:hint="eastAsia"/>
        </w:rPr>
      </w:pPr>
    </w:p>
    <w:p w14:paraId="5484F3B8">
      <w:pPr>
        <w:pStyle w:val="7"/>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2"/>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2"/>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9"/>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2"/>
        <w:jc w:val="center"/>
        <w:rPr>
          <w:rFonts w:hint="eastAsia"/>
          <w:lang w:eastAsia="zh-CN"/>
        </w:rPr>
      </w:pPr>
    </w:p>
    <w:p w14:paraId="51E1EB93">
      <w:pPr>
        <w:rPr>
          <w:rFonts w:hint="eastAsia"/>
        </w:rPr>
      </w:pPr>
    </w:p>
    <w:p w14:paraId="460BEC0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0"/>
        <w:gridCol w:w="2193"/>
        <w:gridCol w:w="286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370"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193"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286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2BB7621">
            <w:pPr>
              <w:pStyle w:val="19"/>
              <w:rPr>
                <w:rFonts w:hint="eastAsia" w:ascii="宋体" w:hAnsi="宋体" w:eastAsia="宋体" w:cs="宋体"/>
                <w:b w:val="0"/>
                <w:bCs w:val="0"/>
                <w:sz w:val="28"/>
                <w:szCs w:val="28"/>
                <w:highlight w:val="none"/>
              </w:rPr>
            </w:pPr>
          </w:p>
        </w:tc>
        <w:tc>
          <w:tcPr>
            <w:tcW w:w="2370" w:type="dxa"/>
          </w:tcPr>
          <w:p w14:paraId="209DB621">
            <w:pPr>
              <w:pStyle w:val="19"/>
              <w:rPr>
                <w:rFonts w:hint="eastAsia" w:ascii="宋体" w:hAnsi="宋体" w:eastAsia="宋体" w:cs="宋体"/>
                <w:b w:val="0"/>
                <w:bCs w:val="0"/>
                <w:sz w:val="28"/>
                <w:szCs w:val="28"/>
                <w:highlight w:val="none"/>
              </w:rPr>
            </w:pPr>
          </w:p>
        </w:tc>
        <w:tc>
          <w:tcPr>
            <w:tcW w:w="2193" w:type="dxa"/>
          </w:tcPr>
          <w:p w14:paraId="0681EB2D">
            <w:pPr>
              <w:pStyle w:val="19"/>
              <w:rPr>
                <w:rFonts w:hint="eastAsia" w:ascii="宋体" w:hAnsi="宋体" w:eastAsia="宋体" w:cs="宋体"/>
                <w:b w:val="0"/>
                <w:bCs w:val="0"/>
                <w:sz w:val="28"/>
                <w:szCs w:val="28"/>
                <w:highlight w:val="none"/>
              </w:rPr>
            </w:pPr>
          </w:p>
        </w:tc>
        <w:tc>
          <w:tcPr>
            <w:tcW w:w="286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6304D853">
            <w:pPr>
              <w:pStyle w:val="19"/>
              <w:rPr>
                <w:rFonts w:hint="eastAsia" w:ascii="宋体" w:hAnsi="宋体" w:eastAsia="宋体" w:cs="宋体"/>
                <w:b w:val="0"/>
                <w:bCs w:val="0"/>
                <w:sz w:val="28"/>
                <w:szCs w:val="28"/>
                <w:highlight w:val="none"/>
              </w:rPr>
            </w:pPr>
          </w:p>
        </w:tc>
        <w:tc>
          <w:tcPr>
            <w:tcW w:w="2370" w:type="dxa"/>
          </w:tcPr>
          <w:p w14:paraId="59169C0E">
            <w:pPr>
              <w:pStyle w:val="19"/>
              <w:rPr>
                <w:rFonts w:hint="eastAsia" w:ascii="宋体" w:hAnsi="宋体" w:eastAsia="宋体" w:cs="宋体"/>
                <w:b w:val="0"/>
                <w:bCs w:val="0"/>
                <w:sz w:val="28"/>
                <w:szCs w:val="28"/>
                <w:highlight w:val="none"/>
              </w:rPr>
            </w:pPr>
          </w:p>
        </w:tc>
        <w:tc>
          <w:tcPr>
            <w:tcW w:w="2193" w:type="dxa"/>
          </w:tcPr>
          <w:p w14:paraId="3B891972">
            <w:pPr>
              <w:pStyle w:val="19"/>
              <w:rPr>
                <w:rFonts w:hint="eastAsia" w:ascii="宋体" w:hAnsi="宋体" w:eastAsia="宋体" w:cs="宋体"/>
                <w:b w:val="0"/>
                <w:bCs w:val="0"/>
                <w:sz w:val="28"/>
                <w:szCs w:val="28"/>
                <w:highlight w:val="none"/>
              </w:rPr>
            </w:pPr>
          </w:p>
        </w:tc>
        <w:tc>
          <w:tcPr>
            <w:tcW w:w="286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7B4BEC94">
            <w:pPr>
              <w:pStyle w:val="19"/>
              <w:rPr>
                <w:rFonts w:hint="eastAsia" w:ascii="宋体" w:hAnsi="宋体" w:eastAsia="宋体" w:cs="宋体"/>
                <w:b w:val="0"/>
                <w:bCs w:val="0"/>
                <w:sz w:val="28"/>
                <w:szCs w:val="28"/>
                <w:highlight w:val="none"/>
              </w:rPr>
            </w:pPr>
          </w:p>
        </w:tc>
        <w:tc>
          <w:tcPr>
            <w:tcW w:w="2370" w:type="dxa"/>
          </w:tcPr>
          <w:p w14:paraId="69F4DDBE">
            <w:pPr>
              <w:pStyle w:val="19"/>
              <w:rPr>
                <w:rFonts w:hint="eastAsia" w:ascii="宋体" w:hAnsi="宋体" w:eastAsia="宋体" w:cs="宋体"/>
                <w:b w:val="0"/>
                <w:bCs w:val="0"/>
                <w:sz w:val="28"/>
                <w:szCs w:val="28"/>
                <w:highlight w:val="none"/>
              </w:rPr>
            </w:pPr>
          </w:p>
        </w:tc>
        <w:tc>
          <w:tcPr>
            <w:tcW w:w="2193" w:type="dxa"/>
          </w:tcPr>
          <w:p w14:paraId="4F0E05FE">
            <w:pPr>
              <w:pStyle w:val="19"/>
              <w:rPr>
                <w:rFonts w:hint="eastAsia" w:ascii="宋体" w:hAnsi="宋体" w:eastAsia="宋体" w:cs="宋体"/>
                <w:b w:val="0"/>
                <w:bCs w:val="0"/>
                <w:sz w:val="28"/>
                <w:szCs w:val="28"/>
                <w:highlight w:val="none"/>
              </w:rPr>
            </w:pPr>
          </w:p>
        </w:tc>
        <w:tc>
          <w:tcPr>
            <w:tcW w:w="286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25ECAB9A">
            <w:pPr>
              <w:pStyle w:val="19"/>
              <w:rPr>
                <w:rFonts w:hint="eastAsia" w:ascii="宋体" w:hAnsi="宋体" w:eastAsia="宋体" w:cs="宋体"/>
                <w:b w:val="0"/>
                <w:bCs w:val="0"/>
                <w:sz w:val="28"/>
                <w:szCs w:val="28"/>
                <w:highlight w:val="none"/>
              </w:rPr>
            </w:pPr>
          </w:p>
        </w:tc>
        <w:tc>
          <w:tcPr>
            <w:tcW w:w="2370" w:type="dxa"/>
          </w:tcPr>
          <w:p w14:paraId="19D4EE74">
            <w:pPr>
              <w:pStyle w:val="19"/>
              <w:rPr>
                <w:rFonts w:hint="eastAsia" w:ascii="宋体" w:hAnsi="宋体" w:eastAsia="宋体" w:cs="宋体"/>
                <w:b w:val="0"/>
                <w:bCs w:val="0"/>
                <w:sz w:val="28"/>
                <w:szCs w:val="28"/>
                <w:highlight w:val="none"/>
              </w:rPr>
            </w:pPr>
          </w:p>
        </w:tc>
        <w:tc>
          <w:tcPr>
            <w:tcW w:w="2193" w:type="dxa"/>
          </w:tcPr>
          <w:p w14:paraId="170A8057">
            <w:pPr>
              <w:pStyle w:val="19"/>
              <w:rPr>
                <w:rFonts w:hint="eastAsia" w:ascii="宋体" w:hAnsi="宋体" w:eastAsia="宋体" w:cs="宋体"/>
                <w:b w:val="0"/>
                <w:bCs w:val="0"/>
                <w:sz w:val="28"/>
                <w:szCs w:val="28"/>
                <w:highlight w:val="none"/>
              </w:rPr>
            </w:pPr>
          </w:p>
        </w:tc>
        <w:tc>
          <w:tcPr>
            <w:tcW w:w="286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9CC13AE">
            <w:pPr>
              <w:pStyle w:val="19"/>
              <w:rPr>
                <w:rFonts w:hint="eastAsia" w:ascii="宋体" w:hAnsi="宋体" w:eastAsia="宋体" w:cs="宋体"/>
                <w:b w:val="0"/>
                <w:bCs w:val="0"/>
                <w:sz w:val="28"/>
                <w:szCs w:val="28"/>
                <w:highlight w:val="none"/>
              </w:rPr>
            </w:pPr>
          </w:p>
        </w:tc>
        <w:tc>
          <w:tcPr>
            <w:tcW w:w="2370" w:type="dxa"/>
          </w:tcPr>
          <w:p w14:paraId="7A6C6D6A">
            <w:pPr>
              <w:pStyle w:val="19"/>
              <w:rPr>
                <w:rFonts w:hint="eastAsia" w:ascii="宋体" w:hAnsi="宋体" w:eastAsia="宋体" w:cs="宋体"/>
                <w:b w:val="0"/>
                <w:bCs w:val="0"/>
                <w:sz w:val="28"/>
                <w:szCs w:val="28"/>
                <w:highlight w:val="none"/>
              </w:rPr>
            </w:pPr>
          </w:p>
        </w:tc>
        <w:tc>
          <w:tcPr>
            <w:tcW w:w="2193" w:type="dxa"/>
          </w:tcPr>
          <w:p w14:paraId="0F5E4219">
            <w:pPr>
              <w:pStyle w:val="19"/>
              <w:rPr>
                <w:rFonts w:hint="eastAsia" w:ascii="宋体" w:hAnsi="宋体" w:eastAsia="宋体" w:cs="宋体"/>
                <w:b w:val="0"/>
                <w:bCs w:val="0"/>
                <w:sz w:val="28"/>
                <w:szCs w:val="28"/>
                <w:highlight w:val="none"/>
              </w:rPr>
            </w:pPr>
          </w:p>
        </w:tc>
        <w:tc>
          <w:tcPr>
            <w:tcW w:w="2862" w:type="dxa"/>
          </w:tcPr>
          <w:p w14:paraId="7495E569">
            <w:pPr>
              <w:pStyle w:val="19"/>
              <w:rPr>
                <w:rFonts w:hint="eastAsia" w:ascii="宋体" w:hAnsi="宋体" w:eastAsia="宋体" w:cs="宋体"/>
                <w:b w:val="0"/>
                <w:bCs w:val="0"/>
                <w:sz w:val="28"/>
                <w:szCs w:val="28"/>
                <w:highlight w:val="none"/>
              </w:rPr>
            </w:pPr>
          </w:p>
        </w:tc>
      </w:tr>
    </w:tbl>
    <w:p w14:paraId="7C2E7577">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9"/>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2"/>
        <w:rPr>
          <w:rFonts w:hint="eastAsia"/>
        </w:rPr>
      </w:pPr>
    </w:p>
    <w:p w14:paraId="2B81FB40">
      <w:pPr>
        <w:rPr>
          <w:rFonts w:hint="eastAsia"/>
        </w:rPr>
      </w:pPr>
    </w:p>
    <w:p w14:paraId="4B2099D9">
      <w:pPr>
        <w:pStyle w:val="12"/>
        <w:rPr>
          <w:rFonts w:hint="eastAsia"/>
        </w:rPr>
      </w:pPr>
    </w:p>
    <w:p w14:paraId="5235DB0E">
      <w:pPr>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5"/>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十</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w:t>
      </w:r>
      <w:r>
        <w:rPr>
          <w:rStyle w:val="17"/>
          <w:rFonts w:hint="eastAsia" w:ascii="宋体" w:hAnsi="宋体" w:cs="宋体"/>
          <w:b/>
          <w:bCs/>
          <w:i w:val="0"/>
          <w:iCs w:val="0"/>
          <w:caps w:val="0"/>
          <w:color w:val="auto"/>
          <w:spacing w:val="0"/>
          <w:kern w:val="0"/>
          <w:sz w:val="32"/>
          <w:szCs w:val="32"/>
          <w:shd w:val="clear" w:color="auto" w:fill="FFFFFF"/>
          <w:lang w:val="en-US" w:eastAsia="zh-CN" w:bidi="ar"/>
        </w:rPr>
        <w:t>售后</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服务承诺</w:t>
      </w:r>
    </w:p>
    <w:p w14:paraId="262D12C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rPr>
      </w:pP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7"/>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2"/>
        <w:rPr>
          <w:rFonts w:hint="eastAsia"/>
        </w:rPr>
      </w:pPr>
    </w:p>
    <w:p w14:paraId="0D5363C0">
      <w:pPr>
        <w:rPr>
          <w:rFonts w:hint="eastAsia"/>
        </w:rPr>
      </w:pPr>
    </w:p>
    <w:p w14:paraId="2B2663AD">
      <w:pPr>
        <w:pStyle w:val="12"/>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10"/>
      <w:jc w:val="center"/>
    </w:pPr>
  </w:p>
  <w:p w14:paraId="67F23A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8EF4F3B"/>
    <w:rsid w:val="2C1E0D1F"/>
    <w:rsid w:val="2FFF523F"/>
    <w:rsid w:val="336B50FA"/>
    <w:rsid w:val="3A39358D"/>
    <w:rsid w:val="3CA04395"/>
    <w:rsid w:val="3CEF76C4"/>
    <w:rsid w:val="3E071ED4"/>
    <w:rsid w:val="3F4A7E6C"/>
    <w:rsid w:val="422225CA"/>
    <w:rsid w:val="427A539B"/>
    <w:rsid w:val="44DF28D5"/>
    <w:rsid w:val="46433EC6"/>
    <w:rsid w:val="4C9064DD"/>
    <w:rsid w:val="503D7096"/>
    <w:rsid w:val="515A2580"/>
    <w:rsid w:val="55242B59"/>
    <w:rsid w:val="5E9F5091"/>
    <w:rsid w:val="5FEC6BD7"/>
    <w:rsid w:val="63C0498B"/>
    <w:rsid w:val="73B9552E"/>
    <w:rsid w:val="7BE60252"/>
    <w:rsid w:val="7D576AFA"/>
    <w:rsid w:val="7E61605D"/>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5">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6">
    <w:name w:val="Document Map"/>
    <w:basedOn w:val="1"/>
    <w:qFormat/>
    <w:uiPriority w:val="99"/>
    <w:rPr>
      <w:rFonts w:ascii="宋体"/>
      <w:sz w:val="18"/>
      <w:szCs w:val="18"/>
    </w:rPr>
  </w:style>
  <w:style w:type="paragraph" w:styleId="7">
    <w:name w:val="Body Text"/>
    <w:basedOn w:val="1"/>
    <w:next w:val="8"/>
    <w:qFormat/>
    <w:uiPriority w:val="0"/>
    <w:pPr>
      <w:spacing w:after="120"/>
    </w:pPr>
    <w:rPr>
      <w:rFonts w:ascii="Calibri" w:hAnsi="Calibri" w:cs="Times New Roman"/>
    </w:rPr>
  </w:style>
  <w:style w:type="paragraph" w:styleId="8">
    <w:name w:val="Body Text First Indent"/>
    <w:basedOn w:val="7"/>
    <w:next w:val="1"/>
    <w:qFormat/>
    <w:uiPriority w:val="99"/>
    <w:pPr>
      <w:tabs>
        <w:tab w:val="left" w:pos="780"/>
      </w:tabs>
      <w:spacing w:after="120"/>
      <w:ind w:firstLine="420" w:firstLineChars="100"/>
    </w:pPr>
  </w:style>
  <w:style w:type="paragraph" w:styleId="9">
    <w:name w:val="Plain Text"/>
    <w:basedOn w:val="1"/>
    <w:qFormat/>
    <w:uiPriority w:val="0"/>
    <w:rPr>
      <w:rFonts w:ascii="宋体" w:hAnsi="Courier New" w:cs="宋体"/>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6275</Words>
  <Characters>6612</Characters>
  <Lines>0</Lines>
  <Paragraphs>0</Paragraphs>
  <TotalTime>2</TotalTime>
  <ScaleCrop>false</ScaleCrop>
  <LinksUpToDate>false</LinksUpToDate>
  <CharactersWithSpaces>7133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2025-06-26T06:48:51Z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4E0FE237AE6B489AB38BEF65829BD307_13</vt:lpwstr>
  </property>
  <property fmtid="{D5CDD505-2E9C-101B-9397-08002B2CF9AE}" pid="4" name="KSOTemplateDocerSaveRecord">
    <vt:lpwstr>eyJoZGlkIjoiYmU2YTg1NDU5OWFmNWQzYWM5OWEzNGM5NWNiYmRkMDYiLCJ1c2VySWQiOiIzODU1OTI0MTkifQ==</vt:lpwstr>
  </property>
</Properties>
</file>